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Calibri" w:cs="Calibri" w:eastAsia="Calibri" w:hAnsi="Calibri"/>
          <w:b/>
          <w:bCs/>
          <w:color w:val="0A1229"/>
          <w:sz w:val="28"/>
          <w:szCs w:val="28"/>
        </w:rPr>
        <w:t xml:space="preserve">Osservatorio Travel eSIM — Edizione 1 (2026)</w:t>
      </w:r>
    </w:p>
    <w:p>
      <w:pPr>
        <w:spacing w:after="20"/>
      </w:pPr>
      <w:r>
        <w:rPr>
          <w:rFonts w:ascii="Calibri" w:cs="Calibri" w:eastAsia="Calibri" w:hAnsi="Calibri"/>
          <w:b/>
          <w:bCs/>
          <w:color w:val="8F5E12"/>
          <w:sz w:val="24"/>
          <w:szCs w:val="24"/>
        </w:rPr>
        <w:t xml:space="preserve">Strumento 1 di 3 — Matrice decisionale</w:t>
      </w:r>
    </w:p>
    <w:p>
      <w:pPr>
        <w:spacing w:after="20"/>
      </w:pPr>
      <w:r>
        <w:rPr>
          <w:rFonts w:ascii="Calibri" w:cs="Calibri" w:eastAsia="Calibri" w:hAnsi="Calibri"/>
          <w:b w:val="false"/>
          <w:bCs w:val="false"/>
          <w:color w:val="44443F"/>
          <w:sz w:val="19"/>
          <w:szCs w:val="19"/>
        </w:rPr>
        <w:t xml:space="preserve">METODO v1.0 · Data: 02/10/2026 · © 2026 CAPCOST SRL</w:t>
      </w:r>
    </w:p>
    <w:p>
      <w:pPr>
        <w:spacing w:after="20"/>
      </w:pPr>
      <w:r>
        <w:rPr>
          <w:rFonts w:ascii="Calibri" w:cs="Calibri" w:eastAsia="Calibri" w:hAnsi="Calibri"/>
          <w:b w:val="false"/>
          <w:bCs w:val="false"/>
          <w:color w:val="44443F"/>
          <w:sz w:val="19"/>
          <w:szCs w:val="19"/>
        </w:rPr>
        <w:t xml:space="preserve">Estratto dal Capitolo 5 «Come scegliere: Buyer's Guide operativa», versione v4 del 22/09/2026, Artefatto 1. Cut-off dell'evidenza sul panel: 4 settembre 2026.</w:t>
      </w:r>
    </w:p>
    <w:p>
      <w:pPr>
        <w:spacing w:after="20"/>
      </w:pPr>
      <w:r>
        <w:rPr>
          <w:rFonts w:ascii="Calibri" w:cs="Calibri" w:eastAsia="Calibri" w:hAnsi="Calibri"/>
          <w:b w:val="false"/>
          <w:bCs w:val="false"/>
          <w:color w:val="44443F"/>
          <w:sz w:val="19"/>
          <w:szCs w:val="19"/>
        </w:rPr>
        <w:t xml:space="preserve">Sezione dell'Osservatorio: capcost.it/osservatorio/ · Strumenti: capcost.it/osservatorio/tool-esim/</w:t>
      </w:r>
    </w:p>
    <w:p>
      <w:pPr>
        <w:spacing w:after="20"/>
      </w:pPr>
      <w:r>
        <w:rPr>
          <w:rFonts w:ascii="Calibri" w:cs="Calibri" w:eastAsia="Calibri" w:hAnsi="Calibri"/>
          <w:b w:val="false"/>
          <w:bCs w:val="false"/>
          <w:color w:val="44443F"/>
          <w:sz w:val="19"/>
          <w:szCs w:val="19"/>
        </w:rPr>
        <w:t xml:space="preserve">I rinvii ad altri capitoli rimandano all'edizione integrale del report, riservata: si richiede da capcost.it/osservatorio/.</w:t>
      </w:r>
    </w:p>
    <w:p/>
    <w:p>
      <w:pPr>
        <w:spacing w:after="120"/>
      </w:pPr>
      <w:r>
        <w:rPr>
          <w:rFonts w:ascii="Calibri" w:cs="Calibri" w:eastAsia="Calibri" w:hAnsi="Calibri"/>
          <w:b w:val="false"/>
          <w:bCs w:val="false"/>
          <w:color w:val="44443F"/>
          <w:sz w:val="21"/>
          <w:szCs w:val="21"/>
        </w:rPr>
        <w:t xml:space="preserve">Il presente capitolo riunisce tre artefatti operativi destinati a Procurement Manager, Legal/Compliance Officer, DPO e IT Director di aziende italiane medie e grandi. L'obiettivo non è graduare in assoluto i fornitori del panel, ma orientare la fase di rosa, due diligence e gara con strumenti pronti all'uso. La matrice decisionale non indica quale fornitore scegliere: dice, dimensione per dimensione, in che forma l'evidenza pubblica si presenta e dove quindi la verifica deve spostarsi sulle clausole — la scelta fra fornitori sta nel capitolo 3. La Compliance Checklist fissa i controlli minimi di conformità da effettuare prima della firma del Master Service Agreement; il Template RFP/RFI fornisce una griglia di domande standardizzata per la valutazione comparativa. Gli artefatti vanno usati in sequenza e non si sostituiscono al pilot tecnico, alla negoziazione contrattuale né al parere di consulenti legali, fiscali e di sicurezza specializzati.</w:t>
      </w:r>
    </w:p>
    <w:p>
      <w:pPr>
        <w:spacing w:after="200" w:before="240"/>
      </w:pPr>
      <w:r>
        <w:rPr>
          <w:rFonts w:ascii="Calibri" w:cs="Calibri" w:eastAsia="Calibri" w:hAnsi="Calibri"/>
          <w:b/>
          <w:bCs/>
          <w:color w:val="0A1229"/>
          <w:sz w:val="32"/>
          <w:szCs w:val="32"/>
        </w:rPr>
        <w:t xml:space="preserve">ARTEFATTO 1 — Matrice decisionale sulle otto dimensioni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color w:val="44443F"/>
          <w:sz w:val="21"/>
          <w:szCs w:val="21"/>
        </w:rPr>
        <w:t xml:space="preserve">Questa matrice sostituisce integralmente il Decision Framework a tre assi delle stesure precedenti, e la sostituzione è una decisione presa il 3 settembre 2026, non un ritocco. Le due generazioni precedenti cadono entrambe: quella che incrociava dimensione aziendale, frequenza di viaggio e settore, e quella che chiedeva all'azienda di ponderare sei dimensioni proprie. La prima poggiava su una matrice comparativa interna a diciotto dimensioni che l'architettura 8×8 dell'Osservatorio ha sostituito, e rinviava a celle numerate di una tabella che il documento non conteneva. La seconda chiedeva al lettore una ponderazione numerica che questa edizione non è in condizione di pubblicare. La matrice che segue è costruita sulle otto dimensioni della scorecard, che sono l'unico impianto di misura del report.</w:t>
      </w:r>
    </w:p>
    <w:p>
      <w:pPr>
        <w:spacing w:after="100" w:before="280"/>
      </w:pPr>
      <w:r>
        <w:rPr>
          <w:rFonts w:ascii="Calibri" w:cs="Calibri" w:eastAsia="Calibri" w:hAnsi="Calibri"/>
          <w:b/>
          <w:bCs/>
          <w:color w:val="8F5E12"/>
          <w:sz w:val="24"/>
          <w:szCs w:val="24"/>
        </w:rPr>
        <w:t xml:space="preserve">Cosa questa matrice fa, e cosa non fa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color w:val="44443F"/>
          <w:sz w:val="21"/>
          <w:szCs w:val="21"/>
        </w:rPr>
        <w:t xml:space="preserve">Non gradua i fornitori e non restituisce una prima e una seconda scelta. Fa una cosa diversa e più utile in una gara: per ciascuna delle otto dimensioni dice in che forma l'evidenza pubblica sul panel si presenta, e quindi dove il peso della verifica si sposta sul contratto invece di poter restare sui documenti. La colonna che conta è la terza.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color w:val="44443F"/>
          <w:sz w:val="21"/>
          <w:szCs w:val="21"/>
        </w:rPr>
        <w:t xml:space="preserve">I livelli citati nella terza colonna sono i quattro della scala unica del metodo — testato, documentato, indizio non confermato e assenza accertata — e vanno letti come sono definiti là. La matrice non assegna punteggi: incrocia livelli di evidenza. La distinzione fra assenza accertata e indizio non confermato è la chiave di lettura di tutto l'impianto: «non c'è» e «non l'abbiamo trovato» non sono la stessa affermazione, e in una due diligence non producono la stessa domanda — la prima chiude un punto, la seconda lo apre.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2100"/>
        <w:gridCol w:w="3019"/>
        <w:gridCol w:w="3019"/>
      </w:tblGrid>
      <w:tr>
        <w:trPr>
          <w:tblHeader/>
        </w:trPr>
        <w:tc>
          <w:tcPr>
            <w:tcW w:type="dxa" w:w="1500"/>
            <w:tcBorders>
              <w:top w:val="single" w:color="C6C3B9" w:sz="4"/>
              <w:left w:val="single" w:color="C6C3B9" w:sz="4"/>
              <w:bottom w:val="single" w:color="C6C3B9" w:sz="4"/>
              <w:right w:val="single" w:color="C6C3B9" w:sz="4"/>
            </w:tcBorders>
            <w:shd w:fill="0A122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Dimensione</w:t>
            </w:r>
          </w:p>
        </w:tc>
        <w:tc>
          <w:tcPr>
            <w:tcW w:type="dxa" w:w="2100"/>
            <w:tcBorders>
              <w:top w:val="single" w:color="C6C3B9" w:sz="4"/>
              <w:left w:val="single" w:color="C6C3B9" w:sz="4"/>
              <w:bottom w:val="single" w:color="C6C3B9" w:sz="4"/>
              <w:right w:val="single" w:color="C6C3B9" w:sz="4"/>
            </w:tcBorders>
            <w:shd w:fill="0A122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Cosa misura</w:t>
            </w:r>
          </w:p>
        </w:tc>
        <w:tc>
          <w:tcPr>
            <w:tcW w:type="dxa" w:w="3019"/>
            <w:tcBorders>
              <w:top w:val="single" w:color="C6C3B9" w:sz="4"/>
              <w:left w:val="single" w:color="C6C3B9" w:sz="4"/>
              <w:bottom w:val="single" w:color="C6C3B9" w:sz="4"/>
              <w:right w:val="single" w:color="C6C3B9" w:sz="4"/>
            </w:tcBorders>
            <w:shd w:fill="0A122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Come si presenta l'evidenza sul panel</w:t>
            </w:r>
          </w:p>
        </w:tc>
        <w:tc>
          <w:tcPr>
            <w:tcW w:type="dxa" w:w="3019"/>
            <w:tcBorders>
              <w:top w:val="single" w:color="C6C3B9" w:sz="4"/>
              <w:left w:val="single" w:color="C6C3B9" w:sz="4"/>
              <w:bottom w:val="single" w:color="C6C3B9" w:sz="4"/>
              <w:right w:val="single" w:color="C6C3B9" w:sz="4"/>
            </w:tcBorders>
            <w:shd w:fill="0A122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Conseguenza in gara</w:t>
            </w:r>
          </w:p>
        </w:tc>
      </w:tr>
      <w:tr>
        <w:tc>
          <w:tcPr>
            <w:tcW w:type="dxa" w:w="1500"/>
            <w:tcBorders>
              <w:top w:val="single" w:color="C6C3B9" w:sz="4"/>
              <w:left w:val="single" w:color="C6C3B9" w:sz="4"/>
              <w:bottom w:val="single" w:color="C6C3B9" w:sz="4"/>
              <w:right w:val="single" w:color="C6C3B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4443F"/>
                <w:sz w:val="19"/>
                <w:szCs w:val="19"/>
              </w:rPr>
              <w:t xml:space="preserve">1 — Rete e performance</w:t>
            </w:r>
          </w:p>
        </w:tc>
        <w:tc>
          <w:tcPr>
            <w:tcW w:type="dxa" w:w="2100"/>
            <w:tcBorders>
              <w:top w:val="single" w:color="C6C3B9" w:sz="4"/>
              <w:left w:val="single" w:color="C6C3B9" w:sz="4"/>
              <w:bottom w:val="single" w:color="C6C3B9" w:sz="4"/>
              <w:right w:val="single" w:color="C6C3B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4443F"/>
                <w:sz w:val="19"/>
                <w:szCs w:val="19"/>
              </w:rPr>
              <w:t xml:space="preserve">Copertura, latenza e throughput misurati sul campo.</w:t>
            </w:r>
          </w:p>
        </w:tc>
        <w:tc>
          <w:tcPr>
            <w:tcW w:type="dxa" w:w="3019"/>
            <w:tcBorders>
              <w:top w:val="single" w:color="C6C3B9" w:sz="4"/>
              <w:left w:val="single" w:color="C6C3B9" w:sz="4"/>
              <w:bottom w:val="single" w:color="C6C3B9" w:sz="4"/>
              <w:right w:val="single" w:color="C6C3B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4443F"/>
                <w:sz w:val="19"/>
                <w:szCs w:val="19"/>
              </w:rPr>
              <w:t xml:space="preserve">Sette celle su otto a livello testato, da 25 run su tre giornate. Una casella resta vuota per perimetro dichiarato e non per lacuna: Gigs non è stato provvisionato nella campagna di misura.</w:t>
            </w:r>
          </w:p>
        </w:tc>
        <w:tc>
          <w:tcPr>
            <w:tcW w:type="dxa" w:w="3019"/>
            <w:tcBorders>
              <w:top w:val="single" w:color="C6C3B9" w:sz="4"/>
              <w:left w:val="single" w:color="C6C3B9" w:sz="4"/>
              <w:bottom w:val="single" w:color="C6C3B9" w:sz="4"/>
              <w:right w:val="single" w:color="C6C3B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4443F"/>
                <w:sz w:val="19"/>
                <w:szCs w:val="19"/>
              </w:rPr>
              <w:t xml:space="preserve">È la sola dimensione con evidenza di test diretto su quasi tutto il panel. In gara si replica con un pilot — sezione 2.6 — non si chiede per iscritto.</w:t>
            </w:r>
          </w:p>
        </w:tc>
      </w:tr>
      <w:tr>
        <w:tc>
          <w:tcPr>
            <w:tcW w:type="dxa" w:w="1500"/>
            <w:tcBorders>
              <w:top w:val="single" w:color="C6C3B9" w:sz="4"/>
              <w:left w:val="single" w:color="C6C3B9" w:sz="4"/>
              <w:bottom w:val="single" w:color="C6C3B9" w:sz="4"/>
              <w:right w:val="single" w:color="C6C3B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4443F"/>
                <w:sz w:val="19"/>
                <w:szCs w:val="19"/>
              </w:rPr>
              <w:t xml:space="preserve">2 — Piattaforma e API</w:t>
            </w:r>
          </w:p>
        </w:tc>
        <w:tc>
          <w:tcPr>
            <w:tcW w:type="dxa" w:w="2100"/>
            <w:tcBorders>
              <w:top w:val="single" w:color="C6C3B9" w:sz="4"/>
              <w:left w:val="single" w:color="C6C3B9" w:sz="4"/>
              <w:bottom w:val="single" w:color="C6C3B9" w:sz="4"/>
              <w:right w:val="single" w:color="C6C3B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4443F"/>
                <w:sz w:val="19"/>
                <w:szCs w:val="19"/>
              </w:rPr>
              <w:t xml:space="preserve">Portale enterprise, API, integrazioni IAM e MDM.</w:t>
            </w:r>
          </w:p>
        </w:tc>
        <w:tc>
          <w:tcPr>
            <w:tcW w:type="dxa" w:w="3019"/>
            <w:tcBorders>
              <w:top w:val="single" w:color="C6C3B9" w:sz="4"/>
              <w:left w:val="single" w:color="C6C3B9" w:sz="4"/>
              <w:bottom w:val="single" w:color="C6C3B9" w:sz="4"/>
              <w:right w:val="single" w:color="C6C3B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4443F"/>
                <w:sz w:val="19"/>
                <w:szCs w:val="19"/>
              </w:rPr>
              <w:t xml:space="preserve">Cinque celle a livello testato dai portali navigati, due a documentato — una su documentazione, una su contratto pubblico — e una a indizio non confermato, dove l'oggetto non è osservabile. La griglia misura sette aree: sei delle nove del metodo, più una che il metodo non elenca.</w:t>
            </w:r>
          </w:p>
        </w:tc>
        <w:tc>
          <w:tcPr>
            <w:tcW w:type="dxa" w:w="3019"/>
            <w:tcBorders>
              <w:top w:val="single" w:color="C6C3B9" w:sz="4"/>
              <w:left w:val="single" w:color="C6C3B9" w:sz="4"/>
              <w:bottom w:val="single" w:color="C6C3B9" w:sz="4"/>
              <w:right w:val="single" w:color="C6C3B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4443F"/>
                <w:sz w:val="19"/>
                <w:szCs w:val="19"/>
              </w:rPr>
              <w:t xml:space="preserve">Le tre aree non coperte — gestione eSIM e ordini, export e reportistica, supporto in-portale — e il fornitore non confermato sono ciò che l'RFI deve chiedere: le sezioni 4 e 5 per portale, API e integrazioni, la 6 per il supporto.</w:t>
            </w:r>
          </w:p>
        </w:tc>
      </w:tr>
      <w:tr>
        <w:tc>
          <w:tcPr>
            <w:tcW w:type="dxa" w:w="1500"/>
            <w:tcBorders>
              <w:top w:val="single" w:color="C6C3B9" w:sz="4"/>
              <w:left w:val="single" w:color="C6C3B9" w:sz="4"/>
              <w:bottom w:val="single" w:color="C6C3B9" w:sz="4"/>
              <w:right w:val="single" w:color="C6C3B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4443F"/>
                <w:sz w:val="19"/>
                <w:szCs w:val="19"/>
              </w:rPr>
              <w:t xml:space="preserve">3 — Esperienza d'uso e DX</w:t>
            </w:r>
          </w:p>
        </w:tc>
        <w:tc>
          <w:tcPr>
            <w:tcW w:type="dxa" w:w="2100"/>
            <w:tcBorders>
              <w:top w:val="single" w:color="C6C3B9" w:sz="4"/>
              <w:left w:val="single" w:color="C6C3B9" w:sz="4"/>
              <w:bottom w:val="single" w:color="C6C3B9" w:sz="4"/>
              <w:right w:val="single" w:color="C6C3B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4443F"/>
                <w:sz w:val="19"/>
                <w:szCs w:val="19"/>
              </w:rPr>
              <w:t xml:space="preserve">Journey del dipendente dopo l'assegnazione e superficie developer.</w:t>
            </w:r>
          </w:p>
        </w:tc>
        <w:tc>
          <w:tcPr>
            <w:tcW w:type="dxa" w:w="3019"/>
            <w:tcBorders>
              <w:top w:val="single" w:color="C6C3B9" w:sz="4"/>
              <w:left w:val="single" w:color="C6C3B9" w:sz="4"/>
              <w:bottom w:val="single" w:color="C6C3B9" w:sz="4"/>
              <w:right w:val="single" w:color="C6C3B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4443F"/>
                <w:sz w:val="19"/>
                <w:szCs w:val="19"/>
              </w:rPr>
              <w:t xml:space="preserve">Sedici assegnazioni fra i due oggetti: nessuna a livello testato, e lo zero è un vincolo di fonte accertato e non una lacuna — nove a documentato, sei a indizio non confermato, nessuna assenza accertata, e una non applicabile per costruzione.</w:t>
            </w:r>
          </w:p>
        </w:tc>
        <w:tc>
          <w:tcPr>
            <w:tcW w:type="dxa" w:w="3019"/>
            <w:tcBorders>
              <w:top w:val="single" w:color="C6C3B9" w:sz="4"/>
              <w:left w:val="single" w:color="C6C3B9" w:sz="4"/>
              <w:bottom w:val="single" w:color="C6C3B9" w:sz="4"/>
              <w:right w:val="single" w:color="C6C3B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4443F"/>
                <w:sz w:val="19"/>
                <w:szCs w:val="19"/>
              </w:rPr>
              <w:t xml:space="preserve">Nessun dato di test. La DX si verifica in sandbox durante la gara, sezione 4.4, non sulla documentazione.</w:t>
            </w:r>
          </w:p>
        </w:tc>
      </w:tr>
      <w:tr>
        <w:tc>
          <w:tcPr>
            <w:tcW w:type="dxa" w:w="1500"/>
            <w:tcBorders>
              <w:top w:val="single" w:color="C6C3B9" w:sz="4"/>
              <w:left w:val="single" w:color="C6C3B9" w:sz="4"/>
              <w:bottom w:val="single" w:color="C6C3B9" w:sz="4"/>
              <w:right w:val="single" w:color="C6C3B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4443F"/>
                <w:sz w:val="19"/>
                <w:szCs w:val="19"/>
              </w:rPr>
              <w:t xml:space="preserve">4 — Cybersecurity</w:t>
            </w:r>
          </w:p>
        </w:tc>
        <w:tc>
          <w:tcPr>
            <w:tcW w:type="dxa" w:w="2100"/>
            <w:tcBorders>
              <w:top w:val="single" w:color="C6C3B9" w:sz="4"/>
              <w:left w:val="single" w:color="C6C3B9" w:sz="4"/>
              <w:bottom w:val="single" w:color="C6C3B9" w:sz="4"/>
              <w:right w:val="single" w:color="C6C3B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4443F"/>
                <w:sz w:val="19"/>
                <w:szCs w:val="19"/>
              </w:rPr>
              <w:t xml:space="preserve">Otto sotto-dimensioni, dalla trust page al meccanismo di trasferimento.</w:t>
            </w:r>
          </w:p>
        </w:tc>
        <w:tc>
          <w:tcPr>
            <w:tcW w:type="dxa" w:w="3019"/>
            <w:tcBorders>
              <w:top w:val="single" w:color="C6C3B9" w:sz="4"/>
              <w:left w:val="single" w:color="C6C3B9" w:sz="4"/>
              <w:bottom w:val="single" w:color="C6C3B9" w:sz="4"/>
              <w:right w:val="single" w:color="C6C3B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4443F"/>
                <w:sz w:val="19"/>
                <w:szCs w:val="19"/>
              </w:rPr>
              <w:t xml:space="preserve">Tutte e otto le celle a indizio non confermato, e le gambe accertate vanno da due a quattro su otto. Nessuno degli otto fornitori del panel ha otto gambe accertate.</w:t>
            </w:r>
          </w:p>
        </w:tc>
        <w:tc>
          <w:tcPr>
            <w:tcW w:type="dxa" w:w="3019"/>
            <w:tcBorders>
              <w:top w:val="single" w:color="C6C3B9" w:sz="4"/>
              <w:left w:val="single" w:color="C6C3B9" w:sz="4"/>
              <w:bottom w:val="single" w:color="C6C3B9" w:sz="4"/>
              <w:right w:val="single" w:color="C6C3B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4443F"/>
                <w:sz w:val="19"/>
                <w:szCs w:val="19"/>
              </w:rPr>
              <w:t xml:space="preserve">È la dimensione dove il documento vale meno della clausola: sezione 7 dell'RFI e Livello 1 della checklist del capitolo 4.</w:t>
            </w:r>
          </w:p>
        </w:tc>
      </w:tr>
      <w:tr>
        <w:tc>
          <w:tcPr>
            <w:tcW w:type="dxa" w:w="1500"/>
            <w:tcBorders>
              <w:top w:val="single" w:color="C6C3B9" w:sz="4"/>
              <w:left w:val="single" w:color="C6C3B9" w:sz="4"/>
              <w:bottom w:val="single" w:color="C6C3B9" w:sz="4"/>
              <w:right w:val="single" w:color="C6C3B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4443F"/>
                <w:sz w:val="19"/>
                <w:szCs w:val="19"/>
              </w:rPr>
              <w:t xml:space="preserve">5 — GDPR e sovranità del dato</w:t>
            </w:r>
          </w:p>
        </w:tc>
        <w:tc>
          <w:tcPr>
            <w:tcW w:type="dxa" w:w="2100"/>
            <w:tcBorders>
              <w:top w:val="single" w:color="C6C3B9" w:sz="4"/>
              <w:left w:val="single" w:color="C6C3B9" w:sz="4"/>
              <w:bottom w:val="single" w:color="C6C3B9" w:sz="4"/>
              <w:right w:val="single" w:color="C6C3B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4443F"/>
                <w:sz w:val="19"/>
                <w:szCs w:val="19"/>
              </w:rPr>
              <w:t xml:space="preserve">Catena del trattamento, trasferimenti extra-UE, sub-responsabili.</w:t>
            </w:r>
          </w:p>
        </w:tc>
        <w:tc>
          <w:tcPr>
            <w:tcW w:type="dxa" w:w="3019"/>
            <w:tcBorders>
              <w:top w:val="single" w:color="C6C3B9" w:sz="4"/>
              <w:left w:val="single" w:color="C6C3B9" w:sz="4"/>
              <w:bottom w:val="single" w:color="C6C3B9" w:sz="4"/>
              <w:right w:val="single" w:color="C6C3B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4443F"/>
                <w:sz w:val="19"/>
                <w:szCs w:val="19"/>
              </w:rPr>
              <w:t xml:space="preserve">Tutte e otto le celle a livello documentato, con varianza nulla sui livelli: è la scala che si comporta così, non un difetto della rilevazione. Su tre fornitori su otto l'oggetto non è determinato dal fornitore.</w:t>
            </w:r>
          </w:p>
        </w:tc>
        <w:tc>
          <w:tcPr>
            <w:tcW w:type="dxa" w:w="3019"/>
            <w:tcBorders>
              <w:top w:val="single" w:color="C6C3B9" w:sz="4"/>
              <w:left w:val="single" w:color="C6C3B9" w:sz="4"/>
              <w:bottom w:val="single" w:color="C6C3B9" w:sz="4"/>
              <w:right w:val="single" w:color="C6C3B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4443F"/>
                <w:sz w:val="19"/>
                <w:szCs w:val="19"/>
              </w:rPr>
              <w:t xml:space="preserve">I livelli non discriminano, la composizione nominativa della catena sì. Si chiede la lista, non la dichiarazione: sezione 7.2.</w:t>
            </w:r>
          </w:p>
        </w:tc>
      </w:tr>
      <w:tr>
        <w:tc>
          <w:tcPr>
            <w:tcW w:type="dxa" w:w="1500"/>
            <w:tcBorders>
              <w:top w:val="single" w:color="C6C3B9" w:sz="4"/>
              <w:left w:val="single" w:color="C6C3B9" w:sz="4"/>
              <w:bottom w:val="single" w:color="C6C3B9" w:sz="4"/>
              <w:right w:val="single" w:color="C6C3B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4443F"/>
                <w:sz w:val="19"/>
                <w:szCs w:val="19"/>
              </w:rPr>
              <w:t xml:space="preserve">6 — Termini contrattuali</w:t>
            </w:r>
          </w:p>
        </w:tc>
        <w:tc>
          <w:tcPr>
            <w:tcW w:type="dxa" w:w="2100"/>
            <w:tcBorders>
              <w:top w:val="single" w:color="C6C3B9" w:sz="4"/>
              <w:left w:val="single" w:color="C6C3B9" w:sz="4"/>
              <w:bottom w:val="single" w:color="C6C3B9" w:sz="4"/>
              <w:right w:val="single" w:color="C6C3B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4443F"/>
                <w:sz w:val="19"/>
                <w:szCs w:val="19"/>
              </w:rPr>
              <w:t xml:space="preserve">Clausole di T&amp;C e di contratti pubblici.</w:t>
            </w:r>
          </w:p>
        </w:tc>
        <w:tc>
          <w:tcPr>
            <w:tcW w:type="dxa" w:w="3019"/>
            <w:tcBorders>
              <w:top w:val="single" w:color="C6C3B9" w:sz="4"/>
              <w:left w:val="single" w:color="C6C3B9" w:sz="4"/>
              <w:bottom w:val="single" w:color="C6C3B9" w:sz="4"/>
              <w:right w:val="single" w:color="C6C3B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4443F"/>
                <w:sz w:val="19"/>
                <w:szCs w:val="19"/>
              </w:rPr>
              <w:t xml:space="preserve">Sette celle a livello documentato e una a indizio non confermato, dove il cap di responsabilità non è stato catturato. La fiscalità è fuori dal perimetro di questa dimensione per l'edizione 1, ed è dichiarato nel capitolo 4.</w:t>
            </w:r>
          </w:p>
        </w:tc>
        <w:tc>
          <w:tcPr>
            <w:tcW w:type="dxa" w:w="3019"/>
            <w:tcBorders>
              <w:top w:val="single" w:color="C6C3B9" w:sz="4"/>
              <w:left w:val="single" w:color="C6C3B9" w:sz="4"/>
              <w:bottom w:val="single" w:color="C6C3B9" w:sz="4"/>
              <w:right w:val="single" w:color="C6C3B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4443F"/>
                <w:sz w:val="19"/>
                <w:szCs w:val="19"/>
              </w:rPr>
              <w:t xml:space="preserve">Sezione 9 dell'RFI, costruita sui tre livelli di priorità della checklist del capitolo 4.</w:t>
            </w:r>
          </w:p>
        </w:tc>
      </w:tr>
      <w:tr>
        <w:tc>
          <w:tcPr>
            <w:tcW w:type="dxa" w:w="1500"/>
            <w:tcBorders>
              <w:top w:val="single" w:color="C6C3B9" w:sz="4"/>
              <w:left w:val="single" w:color="C6C3B9" w:sz="4"/>
              <w:bottom w:val="single" w:color="C6C3B9" w:sz="4"/>
              <w:right w:val="single" w:color="C6C3B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4443F"/>
                <w:sz w:val="19"/>
                <w:szCs w:val="19"/>
              </w:rPr>
              <w:t xml:space="preserve">7 — Costo e trasparenza di pricing</w:t>
            </w:r>
          </w:p>
        </w:tc>
        <w:tc>
          <w:tcPr>
            <w:tcW w:type="dxa" w:w="2100"/>
            <w:tcBorders>
              <w:top w:val="single" w:color="C6C3B9" w:sz="4"/>
              <w:left w:val="single" w:color="C6C3B9" w:sz="4"/>
              <w:bottom w:val="single" w:color="C6C3B9" w:sz="4"/>
              <w:right w:val="single" w:color="C6C3B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4443F"/>
                <w:sz w:val="19"/>
                <w:szCs w:val="19"/>
              </w:rPr>
              <w:t xml:space="preserve">Prezzo per GB nei paesi chiave, struttura tariffaria, commitment.</w:t>
            </w:r>
          </w:p>
        </w:tc>
        <w:tc>
          <w:tcPr>
            <w:tcW w:type="dxa" w:w="3019"/>
            <w:tcBorders>
              <w:top w:val="single" w:color="C6C3B9" w:sz="4"/>
              <w:left w:val="single" w:color="C6C3B9" w:sz="4"/>
              <w:bottom w:val="single" w:color="C6C3B9" w:sz="4"/>
              <w:right w:val="single" w:color="C6C3B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4443F"/>
                <w:sz w:val="19"/>
                <w:szCs w:val="19"/>
              </w:rPr>
              <w:t xml:space="preserve">Sei celle a livello testato, e sono i sei fornitori con listino pubblico: i listini sono stati raccolti fra il 14 e il 15 settembre 2026 e letti direttamente. Due celle non sono applicabili per costruzione, perché eSIM Go e Gigs non espongono un listino retail pubblico.</w:t>
            </w:r>
          </w:p>
        </w:tc>
        <w:tc>
          <w:tcPr>
            <w:tcW w:type="dxa" w:w="3019"/>
            <w:tcBorders>
              <w:top w:val="single" w:color="C6C3B9" w:sz="4"/>
              <w:left w:val="single" w:color="C6C3B9" w:sz="4"/>
              <w:bottom w:val="single" w:color="C6C3B9" w:sz="4"/>
              <w:right w:val="single" w:color="C6C3B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4443F"/>
                <w:sz w:val="19"/>
                <w:szCs w:val="19"/>
              </w:rPr>
              <w:t xml:space="preserve">Il capitolo 3 porta il benchmark dei listini esposti; il prezzo pattuito si negozia, e il confronto si chiude in gara, sezione 8.</w:t>
            </w:r>
          </w:p>
        </w:tc>
      </w:tr>
      <w:tr>
        <w:tc>
          <w:tcPr>
            <w:tcW w:type="dxa" w:w="1500"/>
            <w:tcBorders>
              <w:top w:val="single" w:color="C6C3B9" w:sz="4"/>
              <w:left w:val="single" w:color="C6C3B9" w:sz="4"/>
              <w:bottom w:val="single" w:color="C6C3B9" w:sz="4"/>
              <w:right w:val="single" w:color="C6C3B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4443F"/>
                <w:sz w:val="19"/>
                <w:szCs w:val="19"/>
              </w:rPr>
              <w:t xml:space="preserve">8 — Solidità finanziaria e profilo societario</w:t>
            </w:r>
          </w:p>
        </w:tc>
        <w:tc>
          <w:tcPr>
            <w:tcW w:type="dxa" w:w="2100"/>
            <w:tcBorders>
              <w:top w:val="single" w:color="C6C3B9" w:sz="4"/>
              <w:left w:val="single" w:color="C6C3B9" w:sz="4"/>
              <w:bottom w:val="single" w:color="C6C3B9" w:sz="4"/>
              <w:right w:val="single" w:color="C6C3B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4443F"/>
                <w:sz w:val="19"/>
                <w:szCs w:val="19"/>
              </w:rPr>
              <w:t xml:space="preserve">Entità legale, bilanci depositati, profilo societario.</w:t>
            </w:r>
          </w:p>
        </w:tc>
        <w:tc>
          <w:tcPr>
            <w:tcW w:type="dxa" w:w="3019"/>
            <w:tcBorders>
              <w:top w:val="single" w:color="C6C3B9" w:sz="4"/>
              <w:left w:val="single" w:color="C6C3B9" w:sz="4"/>
              <w:bottom w:val="single" w:color="C6C3B9" w:sz="4"/>
              <w:right w:val="single" w:color="C6C3B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4443F"/>
                <w:sz w:val="19"/>
                <w:szCs w:val="19"/>
              </w:rPr>
              <w:t xml:space="preserve">Cinque celle a livello documentato e tre a indizio non confermato — le entità misurate sono statunitensi, ma su Nomad l'attributo è della società madre e non dell'entità che contrarrebbe, che non è stabilita; il non confermato misura il regime di deposito, non la solidità. Nessuna a livello testato, per costruzione, e nessuna assenza accertata come livello di cella; l'unica assenza accertata della dimensione è un fatto dichiarato in cella, non un livello. Su due fornitori l'entità misurabile non è quella del prodotto.</w:t>
            </w:r>
          </w:p>
        </w:tc>
        <w:tc>
          <w:tcPr>
            <w:tcW w:type="dxa" w:w="3019"/>
            <w:tcBorders>
              <w:top w:val="single" w:color="C6C3B9" w:sz="4"/>
              <w:left w:val="single" w:color="C6C3B9" w:sz="4"/>
              <w:bottom w:val="single" w:color="C6C3B9" w:sz="4"/>
              <w:right w:val="single" w:color="C6C3B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4443F"/>
                <w:sz w:val="19"/>
                <w:szCs w:val="19"/>
              </w:rPr>
              <w:t xml:space="preserve">Sezione 1 dell'RFI chiede l'entità che firma, che su due fornitori non è quella di cui esiste un bilancio.</w:t>
            </w:r>
          </w:p>
        </w:tc>
      </w:tr>
    </w:tbl>
    <w:p/>
    <w:p>
      <w:pPr>
        <w:spacing w:after="100" w:before="280"/>
      </w:pPr>
      <w:r>
        <w:rPr>
          <w:rFonts w:ascii="Calibri" w:cs="Calibri" w:eastAsia="Calibri" w:hAnsi="Calibri"/>
          <w:b/>
          <w:bCs/>
          <w:color w:val="8F5E12"/>
          <w:sz w:val="24"/>
          <w:szCs w:val="24"/>
        </w:rPr>
        <w:t xml:space="preserve">Il risultato che la matrice rende visibile, e non era l'ipotesi di partenza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color w:val="44443F"/>
          <w:sz w:val="21"/>
          <w:szCs w:val="21"/>
        </w:rPr>
        <w:t xml:space="preserve">Messe in fila, le otto righe mostrano un'inversione. La dimensione con l'evidenza più solida è la 1, sette celle su otto verificate con test diretto — ed è anche la dimensione che un acquirente può replicare da sé, con un pilot di due settimane sui propri paesi. La dimensione con l'evidenza più debole è la 4, dove tutte e otto le celle restano a indizio non confermato — ed è quella che un acquirente non può verificare da solo in alcun modo praticabile.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color w:val="44443F"/>
          <w:sz w:val="21"/>
          <w:szCs w:val="21"/>
        </w:rPr>
        <w:t xml:space="preserve">L'evidenza pubblica è abbondante dove serve meno a una decisione di acquisto e scarsa dove serve più. Non è una lettura del panel: è ciò che i numeri delle otto righe dicono messi accanto. La conseguenza operativa è che il peso della selezione non va sulle dimensioni dove la documentazione è ricca, ma sulle clausole che coprono le dimensioni dove non lo è — ed è la ragione per cui l'Artefatto 3 di questo capitolo ha una sezione dedicata alle clausole e non si limita a chiedere documenti.</w:t>
      </w:r>
    </w:p>
    <w:p>
      <w:pPr>
        <w:spacing w:after="100" w:before="280"/>
      </w:pPr>
      <w:r>
        <w:rPr>
          <w:rFonts w:ascii="Calibri" w:cs="Calibri" w:eastAsia="Calibri" w:hAnsi="Calibri"/>
          <w:b/>
          <w:bCs/>
          <w:color w:val="8F5E12"/>
          <w:sz w:val="24"/>
          <w:szCs w:val="24"/>
        </w:rPr>
        <w:t xml:space="preserve">Come si usa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b w:val="false"/>
          <w:bCs w:val="false"/>
          <w:color w:val="44443F"/>
          <w:sz w:val="21"/>
          <w:szCs w:val="21"/>
        </w:rPr>
        <w:t xml:space="preserve">Individuare le dimensioni vincolanti per la propria organizzazione. Non serve pesarle né ordinarle: serve separare quelle su cui un esito negativo ferma l'acquisto da quelle su cui è un elemento di preferenza.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b w:val="false"/>
          <w:bCs w:val="false"/>
          <w:color w:val="44443F"/>
          <w:sz w:val="21"/>
          <w:szCs w:val="21"/>
        </w:rPr>
        <w:t xml:space="preserve">Per ciascuna dimensione vincolante, leggere la terza colonna. Dove l'evidenza del panel non arriva al test diretto, questo capitolo non sostituisce l'RFI: la quarta colonna indica la sezione dell'Artefatto 3 che copre quella dimensione.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b w:val="false"/>
          <w:bCs w:val="false"/>
          <w:color w:val="44443F"/>
          <w:sz w:val="21"/>
          <w:szCs w:val="21"/>
        </w:rPr>
        <w:t xml:space="preserve">La rosa dei fornitori non si costruisce qui. I profili «chi scegliere se…» stanno nel capitolo 3, insieme alla scorecard per fornitore. Questa matrice governa su cosa si decide, il capitolo 3 fra chi.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b w:val="false"/>
          <w:bCs w:val="false"/>
          <w:color w:val="44443F"/>
          <w:sz w:val="21"/>
          <w:szCs w:val="21"/>
        </w:rPr>
        <w:t xml:space="preserve">Emettere l'RFI dell'Artefatto 3, e prima della firma passare l'Artefatto 2, che è la lista di controllo di conformità.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b w:val="false"/>
          <w:bCs w:val="false"/>
          <w:color w:val="44443F"/>
          <w:sz w:val="21"/>
          <w:szCs w:val="21"/>
        </w:rPr>
        <w:t xml:space="preserve">Chiudere con un pilot tecnico su un sottoinsieme controllato di utenti. Per le trasferte UE/SEE, il confronto deve sempre includere il roaming aziendale già coperto dal Regolamento (UE) 2022/612: la travel eSIM è strumento da valutare soprattutto su extra-UE, controllo dei costi e casi di continuità.</w:t>
      </w:r>
    </w:p>
    <w:p>
      <w:pPr>
        <w:spacing w:after="100" w:before="280"/>
      </w:pPr>
      <w:r>
        <w:rPr>
          <w:rFonts w:ascii="Calibri" w:cs="Calibri" w:eastAsia="Calibri" w:hAnsi="Calibri"/>
          <w:b/>
          <w:bCs/>
          <w:color w:val="8F5E12"/>
          <w:sz w:val="24"/>
          <w:szCs w:val="24"/>
        </w:rPr>
        <w:t xml:space="preserve">Limiti, dichiarati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Calibri" w:cs="Calibri" w:eastAsia="Calibri" w:hAnsi="Calibri"/>
          <w:b w:val="false"/>
          <w:bCs w:val="false"/>
          <w:color w:val="44443F"/>
          <w:sz w:val="21"/>
          <w:szCs w:val="21"/>
        </w:rPr>
        <w:t xml:space="preserve">La matrice non autorizza una graduatoria. Le enumerazioni di livelli sono ordinabili e non sottraibili, e le otto dimensioni non sono commensurabili fra loro: il metodo dell'Osservatorio vieta le medie pesate fra dimensioni, perché un indice sintetico nasconderebbe proprio le differenze che la misura esiste per mostrare.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Calibri" w:cs="Calibri" w:eastAsia="Calibri" w:hAnsi="Calibri"/>
          <w:b w:val="false"/>
          <w:bCs w:val="false"/>
          <w:color w:val="44443F"/>
          <w:sz w:val="21"/>
          <w:szCs w:val="21"/>
        </w:rPr>
        <w:t xml:space="preserve">La dimensione 7 misura il listino esposto e non il prezzo pattuito: le sei celle dei fornitori con listino pubblico sono osservazione diretta al 14 e 15 settembre 2026, e la valuta di addebito non è accertata su alcuno dei sei. Chi cerca qui un prezzo negoziato non lo trova, e questo è il posto in cui gli viene detto.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Calibri" w:cs="Calibri" w:eastAsia="Calibri" w:hAnsi="Calibri"/>
          <w:b w:val="false"/>
          <w:bCs w:val="false"/>
          <w:color w:val="44443F"/>
          <w:sz w:val="21"/>
          <w:szCs w:val="21"/>
        </w:rPr>
        <w:t xml:space="preserve">Il cut-off dell'evidenza è il 4 settembre 2026, con le eccezioni dichiarate. Un fornitore può aver pubblicato dopo quella data ciò che alla data non pubblicava: la matrice descrive la documentazione a quel giorno, non lo stato corrente del mercato. L'eccezione che tocca questa matrice è la raccolta dei listini del 14 e 15 settembre 2026, che è la fonte della riga 7.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Calibri" w:cs="Calibri" w:eastAsia="Calibri" w:hAnsi="Calibri"/>
          <w:b w:val="false"/>
          <w:bCs w:val="false"/>
          <w:color w:val="44443F"/>
          <w:sz w:val="21"/>
          <w:szCs w:val="21"/>
        </w:rPr>
        <w:t xml:space="preserve">Non sostituisce la due diligence diretta né la negoziazione di MSA, DPA e SLA, e non incorpora il prezzo, che varia per geografia e per volume e va validato in gara.</w:t>
      </w:r>
    </w:p>
    <w:p>
      <w:pPr>
        <w:spacing w:after="100" w:before="280"/>
      </w:pPr>
      <w:r>
        <w:rPr>
          <w:rFonts w:ascii="Calibri" w:cs="Calibri" w:eastAsia="Calibri" w:hAnsi="Calibri"/>
          <w:b/>
          <w:bCs/>
          <w:color w:val="8F5E12"/>
          <w:sz w:val="24"/>
          <w:szCs w:val="24"/>
        </w:rPr>
        <w:t xml:space="preserve">Settore difesa — nota separata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color w:val="44443F"/>
          <w:sz w:val="21"/>
          <w:szCs w:val="21"/>
        </w:rPr>
        <w:t xml:space="preserve">Per i programmi di difesa core questa matrice non si applica. L'acquisizione richiede valutazioni proprie del Perimetro di Sicurezza Nazionale Cibernetica (D.L. 105/2019 conv. L. 133/2019, DPCM 131/2020, DPCM 81/2021) e le procedure CVCN. Si raccomanda un advisor specializzato in approvvigionamenti per la sicurezza nazionale, l'uso di operatori con presenza nazionale e accordi diretti, e l'esclusione strutturale dei marketplace consumer.</w:t>
      </w:r>
    </w:p>
    <w:p>
      <w:pPr>
        <w:spacing w:after="100" w:before="280"/>
      </w:pPr>
      <w:r>
        <w:rPr>
          <w:rFonts w:ascii="Calibri" w:cs="Calibri" w:eastAsia="Calibri" w:hAnsi="Calibri"/>
          <w:b/>
          <w:bCs/>
          <w:color w:val="8F5E12"/>
          <w:sz w:val="24"/>
          <w:szCs w:val="24"/>
        </w:rPr>
        <w:t xml:space="preserve">Quando il capitolo non basta e serve un advisor esterno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color w:val="44443F"/>
          <w:sz w:val="21"/>
          <w:szCs w:val="21"/>
        </w:rPr>
        <w:t xml:space="preserve">Tre situazioni in cui gli artefatti di questo capitolo vanno integrati con il parere di un advisor indipendente — telecom procurement, legal IT, privacy: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Calibri" w:cs="Calibri" w:eastAsia="Calibri" w:hAnsi="Calibri"/>
          <w:b w:val="false"/>
          <w:bCs w:val="false"/>
          <w:color w:val="44443F"/>
          <w:sz w:val="21"/>
          <w:szCs w:val="21"/>
        </w:rPr>
        <w:t xml:space="preserve">Appartenenza al Perimetro di Sicurezza Nazionale Cibernetica (D.L. 105/2019, DPCM 131/2020, DPCM 81/2021), che impone valutazione formale del rischio fornitore e, se applicabile, notifica CVCN.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Calibri" w:cs="Calibri" w:eastAsia="Calibri" w:hAnsi="Calibri"/>
          <w:b w:val="false"/>
          <w:bCs w:val="false"/>
          <w:color w:val="44443F"/>
          <w:sz w:val="21"/>
          <w:szCs w:val="21"/>
        </w:rPr>
        <w:t xml:space="preserve">Volume contrattuale annuo previsto oltre i 250.000-500.000 euro, soglia oltre la quale la negoziazione di cap di responsabilità, SLA con penali e clausole di uscita giustifica supporto legale dedicato e una rosa a quattro o cinque fornitori.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Calibri" w:cs="Calibri" w:eastAsia="Calibri" w:hAnsi="Calibri"/>
          <w:b w:val="false"/>
          <w:bCs w:val="false"/>
          <w:color w:val="44443F"/>
          <w:sz w:val="21"/>
          <w:szCs w:val="21"/>
        </w:rPr>
        <w:t xml:space="preserve">Travel eSIM usata come componente di un servizio verso terzi — embedding in app HR o customer-facing, offerta white-label, rivendita. La configurazione cambia sostanzialmente (B2B2C, MVNO enablement) e il riferimento non sono i fornitori di travel eSIM diretta ma le piattaforme di infrastruttura B2B/API, con contrattualistica negoziata caso per caso.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color w:val="44443F"/>
          <w:sz w:val="21"/>
          <w:szCs w:val="21"/>
        </w:rPr>
        <w:t xml:space="preserve">Per PA, energia critica, finanza vigilata e sanità con dati su larga scala la decisione non si chiude nel procurement: devono concorrere Legal/Compliance, DPO, IT Security e il responsabile del servizio esternalizzato o della mobilità aziendale.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0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Strumento 1 di 3 — Matrice decisionale</dc:title>
  <dc:creator>CAPCOST SRL</dc:creator>
  <cp:lastModifiedBy>Un-named</cp:lastModifiedBy>
  <cp:revision>1</cp:revision>
  <dcterms:created xsi:type="dcterms:W3CDTF">2026-10-02T14:25:43.864Z</dcterms:created>
  <dcterms:modified xsi:type="dcterms:W3CDTF">2026-10-02T14:25:43.865Z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